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2597" w:right="2583" w:firstLine="655"/>
      </w:pPr>
      <w:r>
        <w:rPr/>
        <w:t>A.V.I.S. COMUNALE BRESCIA Relazione del Collegio dei Revisori dei conti</w:t>
      </w:r>
    </w:p>
    <w:p>
      <w:pPr>
        <w:pStyle w:val="BodyText"/>
        <w:ind w:left="1903"/>
      </w:pPr>
      <w:r>
        <w:rPr/>
        <w:t>Rendiconto economico patrimoniale al 31 dicembre 2017</w:t>
      </w:r>
    </w:p>
    <w:p>
      <w:pPr>
        <w:pStyle w:val="BodyText"/>
      </w:pPr>
    </w:p>
    <w:p>
      <w:pPr>
        <w:pStyle w:val="BodyText"/>
        <w:ind w:left="112" w:right="109"/>
        <w:jc w:val="both"/>
      </w:pPr>
      <w:r>
        <w:rPr/>
        <w:t>Il bilancio al 31 dicembre 2017, che il Consiglio Direttivo sottopone alla vostra approvazione, presenta un disavanzo di €. 19.872,36, a fronte di un risultato positivo dell’anno 2016 pari ad €. 7.717,54.</w:t>
      </w:r>
    </w:p>
    <w:p>
      <w:pPr>
        <w:pStyle w:val="BodyText"/>
      </w:pPr>
    </w:p>
    <w:p>
      <w:pPr>
        <w:pStyle w:val="BodyText"/>
        <w:spacing w:after="6"/>
        <w:ind w:left="112"/>
        <w:jc w:val="both"/>
      </w:pPr>
      <w:r>
        <w:rPr/>
        <w:t>Questo risultato è stato così conseguito:</w:t>
      </w:r>
    </w:p>
    <w:tbl>
      <w:tblPr>
        <w:tblW w:w="0" w:type="auto"/>
        <w:jc w:val="left"/>
        <w:tblInd w:w="151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270"/>
        <w:gridCol w:w="1051"/>
        <w:gridCol w:w="1050"/>
        <w:gridCol w:w="1155"/>
        <w:gridCol w:w="1065"/>
      </w:tblGrid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Proventi da attività trasfusionale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168.736,50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172.781,80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-4.045,30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-2,34%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Altri proventi da fonte privata (compreso 5xmille)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20.352,84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27.553,72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-7.200,88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-26,13%</w:t>
            </w:r>
          </w:p>
        </w:tc>
      </w:tr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Interessi attivi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1.065,96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926,36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139,60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15,07%</w:t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9"/>
              <w:ind w:left="37"/>
              <w:rPr>
                <w:sz w:val="22"/>
              </w:rPr>
            </w:pPr>
            <w:r>
              <w:rPr>
                <w:sz w:val="22"/>
              </w:rPr>
              <w:t>Entrate varie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9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000000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9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3.034,53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000000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9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346,79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2.687,74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9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775,03%</w:t>
            </w: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Totale entrate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193.189,83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201.608,67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-8.418,84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-4,18%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51" w:type="dxa"/>
        <w:tblBorders>
          <w:top w:val="single" w:sz="8" w:space="0" w:color="D0D6E4"/>
          <w:left w:val="single" w:sz="8" w:space="0" w:color="D0D6E4"/>
          <w:bottom w:val="single" w:sz="8" w:space="0" w:color="D0D6E4"/>
          <w:right w:val="single" w:sz="8" w:space="0" w:color="D0D6E4"/>
          <w:insideH w:val="single" w:sz="8" w:space="0" w:color="D0D6E4"/>
          <w:insideV w:val="single" w:sz="8" w:space="0" w:color="D0D6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270"/>
        <w:gridCol w:w="1051"/>
        <w:gridCol w:w="1050"/>
        <w:gridCol w:w="1155"/>
        <w:gridCol w:w="1065"/>
      </w:tblGrid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Spese </w:t>
            </w:r>
            <w:r>
              <w:rPr>
                <w:spacing w:val="2"/>
                <w:sz w:val="22"/>
              </w:rPr>
              <w:t>per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quote associative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38.904,98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37.518,60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1.386,38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3,70%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Utenze (riscaldamento, acqua, illuminazione)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1.957,82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1.976,93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-19,11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-0,97%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Pulizia locali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2.446,40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2.416,20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30,20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1,25%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Rifiuti solidi urbani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527,40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527,40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Bancarie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220,78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222,16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-1,38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-0,62%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Telefoniche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6.042,60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2.414,37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3.628,23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150,28%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Postali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5.084,75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2.406,94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2.677,81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111,25%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Cancelleria e stampati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8.315,77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4.636,34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3.679,43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79,36%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Attrezzature - apparecchiature - mobili e arredi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498,98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-498,98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-100,00%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Assicurazione infortuni e RC soci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1.466,68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1.189,95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276,73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23,26%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left w:val="single" w:sz="6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Rimborso spese viaggio</w:t>
            </w:r>
          </w:p>
        </w:tc>
        <w:tc>
          <w:tcPr>
            <w:tcW w:w="270" w:type="dxa"/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4.818,21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3.830,14</w:t>
            </w:r>
          </w:p>
        </w:tc>
        <w:tc>
          <w:tcPr>
            <w:tcW w:w="1155" w:type="dxa"/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988,07</w:t>
            </w:r>
          </w:p>
        </w:tc>
        <w:tc>
          <w:tcPr>
            <w:tcW w:w="1065" w:type="dxa"/>
          </w:tcPr>
          <w:p>
            <w:pPr>
              <w:pStyle w:val="TableParagraph"/>
              <w:spacing w:line="244" w:lineRule="exact" w:before="16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25,80%</w:t>
            </w:r>
          </w:p>
        </w:tc>
      </w:tr>
      <w:tr>
        <w:trPr>
          <w:trHeight w:val="282" w:hRule="atLeast"/>
        </w:trPr>
        <w:tc>
          <w:tcPr>
            <w:tcW w:w="4888" w:type="dxa"/>
            <w:tcBorders>
              <w:left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7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Retribuzioni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7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7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54.444,37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7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48.710,58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7" w:lineRule="exact" w:before="18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5.733,79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7" w:lineRule="exact" w:before="18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11,77%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left="37"/>
              <w:rPr>
                <w:sz w:val="22"/>
              </w:rPr>
            </w:pPr>
            <w:r>
              <w:rPr>
                <w:sz w:val="22"/>
              </w:rPr>
              <w:t>Quota trattamento di fine rapporto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4.151,90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3.616,43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535,47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14,81%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left="37"/>
              <w:rPr>
                <w:sz w:val="22"/>
              </w:rPr>
            </w:pPr>
            <w:r>
              <w:rPr>
                <w:sz w:val="22"/>
              </w:rPr>
              <w:t>Contributi previdenziali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13.945,18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12.447,14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1.498,04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>
            <w:pPr>
              <w:pStyle w:val="TableParagraph"/>
              <w:spacing w:line="246" w:lineRule="exact" w:before="19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12,04%</w:t>
            </w:r>
          </w:p>
        </w:tc>
      </w:tr>
    </w:tbl>
    <w:p>
      <w:pPr>
        <w:spacing w:after="0" w:line="246" w:lineRule="exact"/>
        <w:jc w:val="right"/>
        <w:rPr>
          <w:sz w:val="22"/>
        </w:rPr>
        <w:sectPr>
          <w:headerReference w:type="default" r:id="rId5"/>
          <w:type w:val="continuous"/>
          <w:pgSz w:w="11910" w:h="16840"/>
          <w:pgMar w:header="722" w:top="1320" w:bottom="280" w:left="1020" w:right="102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51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270"/>
        <w:gridCol w:w="1051"/>
        <w:gridCol w:w="1050"/>
        <w:gridCol w:w="1155"/>
        <w:gridCol w:w="1065"/>
      </w:tblGrid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Prestazioni professionali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29.284,00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31.292,00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-2.008,00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-6,42%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Altri oneri della raccolta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11.890,50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11.875,50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0,13%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Manifesti ed inserzioni pubblicitarie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6.065,83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6.065,83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Diapositive e filmati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240,00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240,00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Materiale di propaganda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2.318,00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2.318,00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Feste sociali e benemerenze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4.116,56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4.034,87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81,69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2,02%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Contributi e omaggi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415,10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6.320,75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-5.905,65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-93,43%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w w:val="95"/>
                <w:sz w:val="22"/>
              </w:rPr>
              <w:t>Partecipazione a tavole rotonde, convegni, seminari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75,00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75,00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Manutenzione attrezzature e apparecchiature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6.422,85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8.315,88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-1.893,03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-22,76%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Quota ammortamenti cespiti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1.363,19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165,94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1.197,25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721,50%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7"/>
              <w:rPr>
                <w:sz w:val="22"/>
              </w:rPr>
            </w:pPr>
            <w:r>
              <w:rPr>
                <w:sz w:val="22"/>
              </w:rPr>
              <w:t>Consulenze professionali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3.362,32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3.052,32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310,00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10,16%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7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Sopravvenienze passive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7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>
            <w:pPr>
              <w:pStyle w:val="TableParagraph"/>
              <w:spacing w:line="247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5.182,00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>
            <w:pPr>
              <w:pStyle w:val="TableParagraph"/>
              <w:spacing w:line="247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6.949,11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7" w:lineRule="exact" w:before="18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-1.767,11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7" w:lineRule="exact" w:before="18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-25,43%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7"/>
              <w:rPr>
                <w:sz w:val="22"/>
              </w:rPr>
            </w:pPr>
            <w:r>
              <w:rPr>
                <w:sz w:val="22"/>
              </w:rPr>
              <w:t>Totale spese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213.062,19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193.891,13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19.171,06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9,89%</w:t>
            </w:r>
          </w:p>
        </w:tc>
      </w:tr>
    </w:tbl>
    <w:p>
      <w:pPr>
        <w:pStyle w:val="BodyText"/>
        <w:spacing w:after="1"/>
      </w:pPr>
    </w:p>
    <w:tbl>
      <w:tblPr>
        <w:tblW w:w="0" w:type="auto"/>
        <w:jc w:val="left"/>
        <w:tblInd w:w="151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270"/>
        <w:gridCol w:w="1051"/>
        <w:gridCol w:w="1050"/>
        <w:gridCol w:w="1155"/>
        <w:gridCol w:w="1065"/>
      </w:tblGrid>
      <w:tr>
        <w:trPr>
          <w:trHeight w:val="289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57" w:lineRule="exact" w:before="12"/>
              <w:ind w:left="37"/>
              <w:rPr>
                <w:sz w:val="23"/>
              </w:rPr>
            </w:pPr>
            <w:r>
              <w:rPr>
                <w:sz w:val="23"/>
              </w:rPr>
              <w:t>Avanzo (disavanzo) dell'esercizio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57" w:lineRule="exact" w:before="12"/>
              <w:ind w:left="34"/>
              <w:rPr>
                <w:sz w:val="23"/>
              </w:rPr>
            </w:pPr>
            <w:r>
              <w:rPr>
                <w:sz w:val="23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57" w:lineRule="exact" w:before="12"/>
              <w:ind w:left="79"/>
              <w:rPr>
                <w:sz w:val="23"/>
              </w:rPr>
            </w:pPr>
            <w:r>
              <w:rPr>
                <w:spacing w:val="-9"/>
                <w:w w:val="90"/>
                <w:sz w:val="23"/>
              </w:rPr>
              <w:t>-19.872,36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57" w:lineRule="exact" w:before="12"/>
              <w:ind w:left="257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7.717,54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57" w:lineRule="exact" w:before="12"/>
              <w:ind w:left="182"/>
              <w:rPr>
                <w:sz w:val="23"/>
              </w:rPr>
            </w:pPr>
            <w:r>
              <w:rPr>
                <w:spacing w:val="-9"/>
                <w:w w:val="90"/>
                <w:sz w:val="23"/>
              </w:rPr>
              <w:t>-27.589,90</w:t>
            </w:r>
          </w:p>
        </w:tc>
        <w:tc>
          <w:tcPr>
            <w:tcW w:w="106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57" w:lineRule="exact" w:before="12"/>
              <w:ind w:left="196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-357,50%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BodyText"/>
        <w:spacing w:before="93"/>
        <w:ind w:left="112"/>
      </w:pPr>
      <w:r>
        <w:rPr/>
        <w:t>E trova riscontro nel seguente patrimonio:</w:t>
      </w:r>
    </w:p>
    <w:p>
      <w:pPr>
        <w:pStyle w:val="BodyText"/>
        <w:spacing w:before="3"/>
      </w:pPr>
    </w:p>
    <w:tbl>
      <w:tblPr>
        <w:tblW w:w="0" w:type="auto"/>
        <w:jc w:val="left"/>
        <w:tblInd w:w="151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270"/>
        <w:gridCol w:w="1051"/>
        <w:gridCol w:w="1050"/>
        <w:gridCol w:w="1155"/>
        <w:gridCol w:w="1065"/>
      </w:tblGrid>
      <w:tr>
        <w:trPr>
          <w:trHeight w:val="280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18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1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2220" w:type="dxa"/>
            <w:gridSpan w:val="2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631"/>
              <w:rPr>
                <w:sz w:val="22"/>
              </w:rPr>
            </w:pPr>
            <w:r>
              <w:rPr>
                <w:sz w:val="22"/>
              </w:rPr>
              <w:t>variazione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Immobilizzazioni immateriali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2.480,75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2.480,75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Immobilizzazioni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45.256,08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45.256,08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Fondi di ammortamento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-43.056,61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-42.933,63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-122,98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6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0,29%</w:t>
            </w:r>
          </w:p>
        </w:tc>
      </w:tr>
      <w:tr>
        <w:trPr>
          <w:trHeight w:val="280" w:hRule="atLeast"/>
        </w:trPr>
        <w:tc>
          <w:tcPr>
            <w:tcW w:w="4888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7"/>
              <w:rPr>
                <w:sz w:val="22"/>
              </w:rPr>
            </w:pPr>
            <w:r>
              <w:rPr>
                <w:sz w:val="22"/>
              </w:rPr>
              <w:t>Liquidità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88.063,28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80.343,83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7.719,45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>
            <w:pPr>
              <w:pStyle w:val="TableParagraph"/>
              <w:spacing w:line="246" w:lineRule="exact" w:before="16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9,61%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7"/>
              <w:rPr>
                <w:sz w:val="22"/>
              </w:rPr>
            </w:pPr>
            <w:r>
              <w:rPr>
                <w:sz w:val="22"/>
              </w:rPr>
              <w:t>Crediti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37.578,49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62.527,06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-24.948,57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-39,90%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7"/>
              <w:rPr>
                <w:sz w:val="22"/>
              </w:rPr>
            </w:pPr>
            <w:r>
              <w:rPr>
                <w:sz w:val="22"/>
              </w:rPr>
              <w:t>Ratei e risconti attivi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5.310,77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1.607,77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3.703,00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230,32%</w:t>
            </w: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left="37"/>
              <w:rPr>
                <w:sz w:val="22"/>
              </w:rPr>
            </w:pPr>
            <w:r>
              <w:rPr>
                <w:w w:val="105"/>
                <w:sz w:val="22"/>
              </w:rPr>
              <w:t>Totale attività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135.632,76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146.801,11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1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-11.168,35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9"/>
              <w:ind w:right="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-7,61%</w:t>
            </w:r>
          </w:p>
        </w:tc>
      </w:tr>
    </w:tbl>
    <w:p>
      <w:pPr>
        <w:spacing w:after="0" w:line="246" w:lineRule="exact"/>
        <w:jc w:val="right"/>
        <w:rPr>
          <w:sz w:val="22"/>
        </w:rPr>
        <w:sectPr>
          <w:pgSz w:w="11910" w:h="16840"/>
          <w:pgMar w:header="722" w:footer="0" w:top="1320" w:bottom="280" w:left="1020" w:right="102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51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270"/>
        <w:gridCol w:w="1051"/>
        <w:gridCol w:w="1050"/>
        <w:gridCol w:w="1155"/>
        <w:gridCol w:w="1065"/>
      </w:tblGrid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Debiti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15.130,97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11.326,19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3.804,78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33,59%</w:t>
            </w: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Fondo TFR dipendenti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32.868,73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28.716,83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4.151,90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14,46%</w:t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Ratei e risconti passivi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000000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2.492,60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000000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1.785,23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707,37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39,62%</w:t>
            </w: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Totale passività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50.492,30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41.828,25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8.664,05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20,71%</w:t>
            </w:r>
          </w:p>
        </w:tc>
      </w:tr>
    </w:tbl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51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270"/>
        <w:gridCol w:w="1051"/>
        <w:gridCol w:w="1050"/>
        <w:gridCol w:w="1155"/>
        <w:gridCol w:w="1065"/>
      </w:tblGrid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Saldo attivo-passivo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85.140,46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104.972,86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-19.832,40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-18,89%</w:t>
            </w: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Patrimonio prec.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104.972,82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97.255,32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7.717,50</w:t>
            </w:r>
          </w:p>
        </w:tc>
        <w:tc>
          <w:tcPr>
            <w:tcW w:w="106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2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7,94%</w:t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88" w:type="dxa"/>
            <w:tcBorders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Avanzo (disavanzo) dell'esercizio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-19.872,36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7.717,54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-27.589,90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4" w:lineRule="exact" w:before="18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-357,50%</w:t>
            </w:r>
          </w:p>
        </w:tc>
      </w:tr>
      <w:tr>
        <w:trPr>
          <w:trHeight w:val="282" w:hRule="atLeast"/>
        </w:trPr>
        <w:tc>
          <w:tcPr>
            <w:tcW w:w="4888" w:type="dxa"/>
            <w:tcBorders>
              <w:top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888" w:type="dxa"/>
            <w:tcBorders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7"/>
              <w:rPr>
                <w:sz w:val="22"/>
              </w:rPr>
            </w:pPr>
            <w:r>
              <w:rPr>
                <w:sz w:val="22"/>
              </w:rPr>
              <w:t>Patrimonio al termine dell'esercizio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left="34"/>
              <w:rPr>
                <w:sz w:val="22"/>
              </w:rPr>
            </w:pPr>
            <w:r>
              <w:rPr>
                <w:sz w:val="22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85.100,46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104.972,86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1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-19.872,40</w:t>
            </w:r>
          </w:p>
        </w:tc>
        <w:tc>
          <w:tcPr>
            <w:tcW w:w="1065" w:type="dxa"/>
            <w:tcBorders>
              <w:left w:val="single" w:sz="8" w:space="0" w:color="D0D6E4"/>
              <w:right w:val="single" w:sz="8" w:space="0" w:color="D0D6E4"/>
            </w:tcBorders>
          </w:tcPr>
          <w:p>
            <w:pPr>
              <w:pStyle w:val="TableParagraph"/>
              <w:spacing w:line="246" w:lineRule="exact" w:before="18"/>
              <w:ind w:right="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-18,93%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BodyText"/>
        <w:spacing w:before="92"/>
        <w:ind w:left="112" w:right="122"/>
        <w:jc w:val="both"/>
      </w:pPr>
      <w:r>
        <w:rPr/>
        <w:t>Le verifiche effettuate sulle registrazioni contabili e sulla documentazione a noi sottoposta, nonché sulla bozza di bilancio approvata dal Consiglio direttivo, consentono di attestare quanto segue:</w:t>
      </w:r>
    </w:p>
    <w:p>
      <w:pPr>
        <w:pStyle w:val="BodyText"/>
      </w:pPr>
    </w:p>
    <w:p>
      <w:pPr>
        <w:pStyle w:val="BodyText"/>
        <w:ind w:left="112" w:right="118"/>
        <w:jc w:val="both"/>
      </w:pPr>
      <w:r>
        <w:rPr/>
        <w:t>Il presente bilancio rappresenta in modo veritiero e corretto la situazione contabile dell’Associazione, sia sul piano economico che patrimoniale;</w:t>
      </w:r>
    </w:p>
    <w:p>
      <w:pPr>
        <w:pStyle w:val="BodyText"/>
      </w:pPr>
    </w:p>
    <w:p>
      <w:pPr>
        <w:pStyle w:val="BodyText"/>
        <w:ind w:left="112" w:right="117"/>
        <w:jc w:val="both"/>
      </w:pPr>
      <w:r>
        <w:rPr/>
        <w:t>I dati sono stati trattati in linea con le posizioni della Presidenza e del Consiglio in ordine alle disposizioni vigenti e alle norme che tutelano il carattere volontaristico dell'associazione.</w:t>
      </w:r>
    </w:p>
    <w:p>
      <w:pPr>
        <w:pStyle w:val="BodyText"/>
        <w:spacing w:before="1"/>
      </w:pPr>
    </w:p>
    <w:p>
      <w:pPr>
        <w:pStyle w:val="BodyText"/>
        <w:ind w:left="112" w:right="108"/>
        <w:jc w:val="both"/>
      </w:pPr>
      <w:r>
        <w:rPr/>
        <w:t>La voce “liquidità” risultante dal bilancio dell’esercizio corrisponde alla effettiva consistenza del fondo cassa, del conto corrente bancario e dei titoli intestati all’Associazione esistenti al termine</w:t>
      </w:r>
      <w:r>
        <w:rPr>
          <w:spacing w:val="-2"/>
        </w:rPr>
        <w:t> </w:t>
      </w:r>
      <w:r>
        <w:rPr/>
        <w:t>dell’esercizio;</w:t>
      </w:r>
    </w:p>
    <w:p>
      <w:pPr>
        <w:pStyle w:val="BodyText"/>
      </w:pPr>
    </w:p>
    <w:p>
      <w:pPr>
        <w:pStyle w:val="BodyText"/>
        <w:ind w:left="112" w:right="109"/>
        <w:jc w:val="both"/>
      </w:pPr>
      <w:r>
        <w:rPr/>
        <w:t>Gli obblighi in materia contributiva e previdenziale nei confronti del personale dipendente e dei terzi sono stati correttamente adempiuti;</w:t>
      </w:r>
    </w:p>
    <w:p>
      <w:pPr>
        <w:pStyle w:val="BodyText"/>
      </w:pPr>
    </w:p>
    <w:p>
      <w:pPr>
        <w:pStyle w:val="BodyText"/>
        <w:ind w:left="112" w:right="109"/>
        <w:jc w:val="both"/>
      </w:pPr>
      <w:r>
        <w:rPr/>
        <w:t>Il disavanzo dell’esercizio 2017 trova ampia copertura nel Patrimonio dell’associazione, che evidenzia un saldo residuo positivo di €. 85.100,50 dopo l’assorbimento del disavanzo dell’esercizio.</w:t>
      </w:r>
    </w:p>
    <w:p>
      <w:pPr>
        <w:pStyle w:val="BodyText"/>
      </w:pPr>
    </w:p>
    <w:p>
      <w:pPr>
        <w:pStyle w:val="BodyText"/>
        <w:ind w:left="112" w:right="121"/>
        <w:jc w:val="both"/>
      </w:pPr>
      <w:r>
        <w:rPr/>
        <w:t>Vi invitiamo pertanto a dare la Vostra approvazione al bilancio così come Vi è stato presentato.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320" w:bottom="280" w:left="1020" w:right="1020"/>
        </w:sectPr>
      </w:pPr>
    </w:p>
    <w:p>
      <w:pPr>
        <w:pStyle w:val="BodyText"/>
        <w:spacing w:before="93"/>
        <w:ind w:left="112"/>
      </w:pPr>
      <w:r>
        <w:rPr/>
        <w:t>Brescia, 08 febbraio 2018</w:t>
      </w:r>
    </w:p>
    <w:p>
      <w:pPr>
        <w:pStyle w:val="BodyText"/>
        <w:spacing w:before="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480" w:lineRule="auto"/>
        <w:ind w:left="112" w:right="282"/>
      </w:pPr>
      <w:r>
        <w:rPr/>
        <w:t>Il Collegio dei Revisori dei conti Dr Goffredo</w:t>
      </w:r>
      <w:r>
        <w:rPr>
          <w:spacing w:val="-3"/>
        </w:rPr>
        <w:t> </w:t>
      </w:r>
      <w:r>
        <w:rPr/>
        <w:t>Barbi</w:t>
      </w:r>
    </w:p>
    <w:p>
      <w:pPr>
        <w:pStyle w:val="BodyText"/>
        <w:spacing w:line="480" w:lineRule="auto"/>
        <w:ind w:left="112" w:right="1563"/>
      </w:pPr>
      <w:r>
        <w:rPr/>
        <w:t>Dr Marco Monticelli Dr. Matteo</w:t>
      </w:r>
      <w:r>
        <w:rPr>
          <w:spacing w:val="-5"/>
        </w:rPr>
        <w:t> </w:t>
      </w:r>
      <w:r>
        <w:rPr/>
        <w:t>Brangi</w:t>
      </w:r>
    </w:p>
    <w:sectPr>
      <w:type w:val="continuous"/>
      <w:pgSz w:w="11910" w:h="16840"/>
      <w:pgMar w:top="1320" w:bottom="280" w:left="1020" w:right="1020"/>
      <w:cols w:num="2" w:equalWidth="0">
        <w:col w:w="2891" w:space="3230"/>
        <w:col w:w="37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5.106625pt;width:128.25pt;height:15.3pt;mso-position-horizontal-relative:page;mso-position-vertical-relative:page;z-index:-42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Avis Comunale di Brescia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Goffredo Barbi</dc:creator>
  <dc:title>A</dc:title>
  <dcterms:created xsi:type="dcterms:W3CDTF">2018-02-20T07:05:33Z</dcterms:created>
  <dcterms:modified xsi:type="dcterms:W3CDTF">2018-02-20T07:05:33Z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2018-02-20T00:00:00Z</vt:filetime>
  </property>
</Properties>
</file>