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F2020" w14:textId="77777777" w:rsidR="00FB5C60" w:rsidRDefault="00FB5C60">
      <w:pPr>
        <w:spacing w:line="460" w:lineRule="exact"/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A.V.I.S. COMUNALE BRESCIA</w:t>
      </w:r>
    </w:p>
    <w:p w14:paraId="747062C2" w14:textId="77777777" w:rsidR="00FB5C60" w:rsidRDefault="00FB5C60">
      <w:pPr>
        <w:spacing w:line="460" w:lineRule="exac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NOTA INTEGRATI</w:t>
      </w:r>
      <w:r w:rsidR="00CA4F33">
        <w:rPr>
          <w:rFonts w:ascii="Garamond" w:hAnsi="Garamond"/>
          <w:b/>
        </w:rPr>
        <w:t>VA AL BILANCIO CHIUSO 31/12/2015</w:t>
      </w:r>
    </w:p>
    <w:p w14:paraId="1689A557" w14:textId="77777777" w:rsidR="00FB5C60" w:rsidRDefault="00FB5C60">
      <w:pPr>
        <w:spacing w:line="460" w:lineRule="exact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***</w:t>
      </w:r>
    </w:p>
    <w:p w14:paraId="3998ADA2" w14:textId="77777777" w:rsidR="00FB5C60" w:rsidRDefault="00FB5C60">
      <w:pPr>
        <w:spacing w:line="460" w:lineRule="exact"/>
        <w:rPr>
          <w:rFonts w:ascii="Garamond" w:hAnsi="Garamond"/>
        </w:rPr>
      </w:pPr>
      <w:r>
        <w:rPr>
          <w:rFonts w:ascii="Garamond" w:hAnsi="Garamond"/>
        </w:rPr>
        <w:t>Signore e signori soci dell’Avis</w:t>
      </w:r>
    </w:p>
    <w:p w14:paraId="3149EE14" w14:textId="77777777" w:rsidR="00FB5C60" w:rsidRDefault="00CA4F33">
      <w:pPr>
        <w:spacing w:line="460" w:lineRule="exact"/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il bilancio al 31/12/2015</w:t>
      </w:r>
      <w:r w:rsidR="00FB5C60">
        <w:rPr>
          <w:rFonts w:ascii="Garamond" w:hAnsi="Garamond"/>
        </w:rPr>
        <w:t>, come per gli anni precedenti, è stato redatto secondo lo schema suggerito dall’A.V.I.S. Nazionale e riporta, per un’immediata comparazione, i dati relativi all’esercizio precedente.</w:t>
      </w:r>
    </w:p>
    <w:p w14:paraId="7C3F4104" w14:textId="77777777" w:rsidR="00CA4F33" w:rsidRDefault="00FB5C60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Il risu</w:t>
      </w:r>
      <w:r w:rsidR="00375960">
        <w:rPr>
          <w:rFonts w:ascii="Garamond" w:hAnsi="Garamond"/>
        </w:rPr>
        <w:t>ltato,</w:t>
      </w:r>
      <w:r w:rsidR="00CA4F33">
        <w:rPr>
          <w:rFonts w:ascii="Garamond" w:hAnsi="Garamond"/>
        </w:rPr>
        <w:t xml:space="preserve"> negativo per € 37.273,17</w:t>
      </w:r>
      <w:r w:rsidR="00375960">
        <w:rPr>
          <w:rFonts w:ascii="Garamond" w:hAnsi="Garamond"/>
        </w:rPr>
        <w:t xml:space="preserve">, </w:t>
      </w:r>
      <w:r w:rsidR="00CA4F33">
        <w:rPr>
          <w:rFonts w:ascii="Garamond" w:hAnsi="Garamond"/>
        </w:rPr>
        <w:t xml:space="preserve"> trova spiegazione nelle seguenti componenti: l’aumento delle spese relative ai festeggiamenti per l’80° dell’Avis Provinciale di Brescia</w:t>
      </w:r>
      <w:r w:rsidR="00375960">
        <w:rPr>
          <w:rFonts w:ascii="Garamond" w:hAnsi="Garamond"/>
        </w:rPr>
        <w:t>, previste in sede di approvazione del Bilancio preventivo 2015,</w:t>
      </w:r>
      <w:r w:rsidR="00AE5969">
        <w:rPr>
          <w:rFonts w:ascii="Garamond" w:hAnsi="Garamond"/>
        </w:rPr>
        <w:t xml:space="preserve"> </w:t>
      </w:r>
      <w:r w:rsidR="00CA4F33">
        <w:rPr>
          <w:rFonts w:ascii="Garamond" w:hAnsi="Garamond"/>
        </w:rPr>
        <w:t>ed il contributo straordinario di solidarietà a favore dell’Avis provinciale di Brescia</w:t>
      </w:r>
      <w:r w:rsidR="00375960">
        <w:rPr>
          <w:rFonts w:ascii="Garamond" w:hAnsi="Garamond"/>
        </w:rPr>
        <w:t xml:space="preserve"> per la realizzazione dei nuovi centri di raccolta in provincia</w:t>
      </w:r>
      <w:r w:rsidR="00CA4F33">
        <w:rPr>
          <w:rFonts w:ascii="Garamond" w:hAnsi="Garamond"/>
        </w:rPr>
        <w:t xml:space="preserve">, ammontante ad </w:t>
      </w:r>
      <w:r w:rsidR="00F830B0" w:rsidRPr="003522A8">
        <w:rPr>
          <w:rFonts w:ascii="Garamond" w:hAnsi="Garamond"/>
        </w:rPr>
        <w:t xml:space="preserve">€ 13.032 (2 </w:t>
      </w:r>
      <w:r w:rsidR="00CA4F33" w:rsidRPr="003522A8">
        <w:rPr>
          <w:rFonts w:ascii="Garamond" w:hAnsi="Garamond"/>
        </w:rPr>
        <w:t>€ per ogni donazione) che</w:t>
      </w:r>
      <w:r w:rsidR="00375960" w:rsidRPr="003522A8">
        <w:rPr>
          <w:rFonts w:ascii="Garamond" w:hAnsi="Garamond"/>
        </w:rPr>
        <w:t>,</w:t>
      </w:r>
      <w:r w:rsidR="00CA4F33">
        <w:rPr>
          <w:rFonts w:ascii="Garamond" w:hAnsi="Garamond"/>
        </w:rPr>
        <w:t xml:space="preserve"> sommato ai contributi ordinari a favore delle Avis provinciale, regionale e nazionale</w:t>
      </w:r>
      <w:r w:rsidR="00375960">
        <w:rPr>
          <w:rFonts w:ascii="Garamond" w:hAnsi="Garamond"/>
        </w:rPr>
        <w:t>,</w:t>
      </w:r>
      <w:r w:rsidR="00CA4F33">
        <w:rPr>
          <w:rFonts w:ascii="Garamond" w:hAnsi="Garamond"/>
        </w:rPr>
        <w:t xml:space="preserve"> porta tale voce di uscita all’importo di € 31.269,67 contro un’uscita </w:t>
      </w:r>
      <w:r w:rsidR="0021458A">
        <w:rPr>
          <w:rFonts w:ascii="Garamond" w:hAnsi="Garamond"/>
        </w:rPr>
        <w:t xml:space="preserve">complessiva </w:t>
      </w:r>
      <w:r w:rsidR="00CA4F33">
        <w:rPr>
          <w:rFonts w:ascii="Garamond" w:hAnsi="Garamond"/>
        </w:rPr>
        <w:t xml:space="preserve">di € 17.009,07 nel 2014. </w:t>
      </w:r>
    </w:p>
    <w:p w14:paraId="21AE28CC" w14:textId="77777777" w:rsidR="00375960" w:rsidRDefault="00375960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Sul fronte dei ricavi dobbiamo segnalare un significativo incremento, da € 156.341,50 nel 2014 ad € 165.507,90 dovuto all’incremento delle donazioni di sangue intero che stiamo registrando da qualche anno. Questo risultato è la prova dell’impegno della nostra segreteria nel chiamare i donatori e nel reperire nuovi donatori e di tutti i volontari che fanno propaganda nelle scuole tra gli studenti dell’ultimo biennio delle superiori.</w:t>
      </w:r>
    </w:p>
    <w:p w14:paraId="315FD4C8" w14:textId="77777777" w:rsidR="002B7097" w:rsidRDefault="002B7097" w:rsidP="002B7097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Il contributo accordato dall’Avis provinciale di € 10.000,00 per il rimborso parziale della spesa relativa al nostro Direttore Sanitario</w:t>
      </w:r>
      <w:r w:rsidR="00FF00EE">
        <w:rPr>
          <w:rFonts w:ascii="Garamond" w:hAnsi="Garamond"/>
        </w:rPr>
        <w:t>,</w:t>
      </w:r>
      <w:r>
        <w:rPr>
          <w:rFonts w:ascii="Garamond" w:hAnsi="Garamond"/>
        </w:rPr>
        <w:t xml:space="preserve"> che opera anche in favore di soci iscritti ad altre Avis comunali</w:t>
      </w:r>
      <w:r w:rsidR="00FF00EE">
        <w:rPr>
          <w:rFonts w:ascii="Garamond" w:hAnsi="Garamond"/>
        </w:rPr>
        <w:t>,</w:t>
      </w:r>
      <w:r>
        <w:rPr>
          <w:rFonts w:ascii="Garamond" w:hAnsi="Garamond"/>
        </w:rPr>
        <w:t xml:space="preserve"> è stato portato, come nel precedente esercizio, a riduzione parziale del costo della Direzione Sanitaria.</w:t>
      </w:r>
    </w:p>
    <w:p w14:paraId="4472B8C0" w14:textId="77777777" w:rsidR="005118FE" w:rsidRDefault="005118FE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Rispetto all’esercizio precedente registriamo una riduzione delle Spese generali (da € 30.101,34 nel 2014 a € 27.589,13) ed un incremento delle spese per il personale (da € 58.283,39 nel 2014 a € 64.389,40), delle spese sanitarie (da € 32.428,00 nel 2014 ad e 35.747,00) e delle spese di propaganda dovuto, come già detto, ai festeggiamenti per il nostro 80° compleanno.</w:t>
      </w:r>
    </w:p>
    <w:p w14:paraId="00266B28" w14:textId="77777777" w:rsidR="008476D8" w:rsidRDefault="005118FE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spese di manutenzione, gli ammortamenti e le spese di </w:t>
      </w:r>
      <w:r w:rsidR="008476D8">
        <w:rPr>
          <w:rFonts w:ascii="Garamond" w:hAnsi="Garamond"/>
        </w:rPr>
        <w:t xml:space="preserve">consulenza </w:t>
      </w:r>
      <w:r w:rsidR="0021458A">
        <w:rPr>
          <w:rFonts w:ascii="Garamond" w:hAnsi="Garamond"/>
        </w:rPr>
        <w:t xml:space="preserve">non hanno subito significative variazioni </w:t>
      </w:r>
      <w:r w:rsidR="008476D8">
        <w:rPr>
          <w:rFonts w:ascii="Garamond" w:hAnsi="Garamond"/>
        </w:rPr>
        <w:t xml:space="preserve">mentre segnaliamo le </w:t>
      </w:r>
      <w:r w:rsidR="008476D8" w:rsidRPr="001005DD">
        <w:rPr>
          <w:rFonts w:ascii="Garamond" w:hAnsi="Garamond"/>
        </w:rPr>
        <w:t xml:space="preserve">sopravvenienze passive </w:t>
      </w:r>
      <w:r w:rsidR="00FF7E7B" w:rsidRPr="001005DD">
        <w:rPr>
          <w:rFonts w:ascii="Garamond" w:hAnsi="Garamond"/>
        </w:rPr>
        <w:t>e spese varie di € 12.210,18 dovute a spese per servizi</w:t>
      </w:r>
      <w:r w:rsidR="00F830B0" w:rsidRPr="001005DD">
        <w:rPr>
          <w:rFonts w:ascii="Garamond" w:hAnsi="Garamond"/>
        </w:rPr>
        <w:t>o di trasporto per € 2.734,00, t</w:t>
      </w:r>
      <w:r w:rsidR="00FF7E7B" w:rsidRPr="001005DD">
        <w:rPr>
          <w:rFonts w:ascii="Garamond" w:hAnsi="Garamond"/>
        </w:rPr>
        <w:t>assa rifiuti per € 601,65, erogazioni liberali per € 500,00, spese varie generali e amministrative per € 2.651,17,</w:t>
      </w:r>
      <w:r w:rsidR="00FF7E7B">
        <w:rPr>
          <w:rFonts w:ascii="Garamond" w:hAnsi="Garamond"/>
        </w:rPr>
        <w:t xml:space="preserve"> </w:t>
      </w:r>
      <w:r w:rsidR="00F830B0">
        <w:rPr>
          <w:rFonts w:ascii="Garamond" w:hAnsi="Garamond"/>
        </w:rPr>
        <w:t>c</w:t>
      </w:r>
      <w:r w:rsidR="00FF7E7B">
        <w:rPr>
          <w:rFonts w:ascii="Garamond" w:hAnsi="Garamond"/>
        </w:rPr>
        <w:t xml:space="preserve">ompetenze medici </w:t>
      </w:r>
      <w:r w:rsidR="00FF7E7B">
        <w:rPr>
          <w:rFonts w:ascii="Garamond" w:hAnsi="Garamond"/>
        </w:rPr>
        <w:lastRenderedPageBreak/>
        <w:t>relative al 2014</w:t>
      </w:r>
      <w:r w:rsidR="003761CA">
        <w:rPr>
          <w:rFonts w:ascii="Garamond" w:hAnsi="Garamond"/>
        </w:rPr>
        <w:t xml:space="preserve"> per € 1.022,00, ravvedimento contributi maternità 2013 per € 1.928,08, ratei ferie e contributi di competenza 2014 per € 2.768,95, arrotondamenti passivi per € 4,33.</w:t>
      </w:r>
    </w:p>
    <w:p w14:paraId="5CE982FE" w14:textId="77777777" w:rsidR="00EE485E" w:rsidRDefault="00F73AC3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spese di competenza </w:t>
      </w:r>
      <w:r w:rsidR="008476D8">
        <w:rPr>
          <w:rFonts w:ascii="Garamond" w:hAnsi="Garamond"/>
        </w:rPr>
        <w:t>2015</w:t>
      </w:r>
      <w:r w:rsidR="00EE485E">
        <w:rPr>
          <w:rFonts w:ascii="Garamond" w:hAnsi="Garamond"/>
        </w:rPr>
        <w:t xml:space="preserve"> per l’iniziativa “trasfusioni domiciliari”</w:t>
      </w:r>
      <w:r w:rsidR="006F5CF1">
        <w:rPr>
          <w:rFonts w:ascii="Garamond" w:hAnsi="Garamond"/>
        </w:rPr>
        <w:t>,</w:t>
      </w:r>
      <w:r w:rsidR="00EE485E">
        <w:rPr>
          <w:rFonts w:ascii="Garamond" w:hAnsi="Garamond"/>
        </w:rPr>
        <w:t xml:space="preserve"> intrapresa in collaborazione con l’ASL, l’AIL e il reparto di Emat</w:t>
      </w:r>
      <w:r w:rsidR="006F5CF1">
        <w:rPr>
          <w:rFonts w:ascii="Garamond" w:hAnsi="Garamond"/>
        </w:rPr>
        <w:t>ologia degli Spedali Civili di B</w:t>
      </w:r>
      <w:r w:rsidR="00EE485E">
        <w:rPr>
          <w:rFonts w:ascii="Garamond" w:hAnsi="Garamond"/>
        </w:rPr>
        <w:t>rescia</w:t>
      </w:r>
      <w:r>
        <w:rPr>
          <w:rFonts w:ascii="Garamond" w:hAnsi="Garamond"/>
        </w:rPr>
        <w:t>,</w:t>
      </w:r>
      <w:r w:rsidR="00EE485E">
        <w:rPr>
          <w:rFonts w:ascii="Garamond" w:hAnsi="Garamond"/>
        </w:rPr>
        <w:t xml:space="preserve"> </w:t>
      </w:r>
      <w:r w:rsidR="006F5CF1">
        <w:rPr>
          <w:rFonts w:ascii="Garamond" w:hAnsi="Garamond"/>
        </w:rPr>
        <w:t xml:space="preserve">sono state complessivamente pari a </w:t>
      </w:r>
      <w:r w:rsidR="006F5CF1" w:rsidRPr="001956D7">
        <w:rPr>
          <w:rFonts w:ascii="Garamond" w:hAnsi="Garamond"/>
        </w:rPr>
        <w:t xml:space="preserve">€ </w:t>
      </w:r>
      <w:r w:rsidR="003522A8">
        <w:rPr>
          <w:rFonts w:ascii="Garamond" w:hAnsi="Garamond"/>
        </w:rPr>
        <w:t>6.100.</w:t>
      </w:r>
    </w:p>
    <w:p w14:paraId="05534396" w14:textId="77777777" w:rsidR="008476D8" w:rsidRDefault="008476D8" w:rsidP="002B7097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Nel 2015 abbiamo incassato le somme, </w:t>
      </w:r>
      <w:r w:rsidR="007F7064">
        <w:rPr>
          <w:rFonts w:ascii="Garamond" w:hAnsi="Garamond"/>
        </w:rPr>
        <w:t xml:space="preserve">relative al 2010 e </w:t>
      </w:r>
      <w:r w:rsidR="007F7064" w:rsidRPr="00FE5A2B">
        <w:rPr>
          <w:rFonts w:ascii="Garamond" w:hAnsi="Garamond"/>
        </w:rPr>
        <w:t>al 2013</w:t>
      </w:r>
      <w:r w:rsidR="004F15C6" w:rsidRPr="00FE5A2B">
        <w:rPr>
          <w:rFonts w:ascii="Garamond" w:hAnsi="Garamond"/>
        </w:rPr>
        <w:t>,</w:t>
      </w:r>
      <w:r w:rsidR="007F7064" w:rsidRPr="00FE5A2B">
        <w:rPr>
          <w:rFonts w:ascii="Garamond" w:hAnsi="Garamond"/>
        </w:rPr>
        <w:t xml:space="preserve"> </w:t>
      </w:r>
      <w:r w:rsidR="004F15C6" w:rsidRPr="00FE5A2B">
        <w:rPr>
          <w:rFonts w:ascii="Garamond" w:hAnsi="Garamond"/>
        </w:rPr>
        <w:t>per il 5</w:t>
      </w:r>
      <w:r w:rsidR="004F15C6">
        <w:rPr>
          <w:rFonts w:ascii="Garamond" w:hAnsi="Garamond"/>
        </w:rPr>
        <w:t xml:space="preserve"> x 1000 rispettivamente per € 13.243,79 e € 12.663,87. Tali somme sono state portate a riduzione dei crediti per € 23,466,</w:t>
      </w:r>
      <w:r w:rsidR="004F15C6" w:rsidRPr="00FE5A2B">
        <w:rPr>
          <w:rFonts w:ascii="Garamond" w:hAnsi="Garamond"/>
        </w:rPr>
        <w:t xml:space="preserve">13 </w:t>
      </w:r>
      <w:r w:rsidR="007F7064" w:rsidRPr="00FE5A2B">
        <w:rPr>
          <w:rFonts w:ascii="Garamond" w:hAnsi="Garamond"/>
        </w:rPr>
        <w:t xml:space="preserve">e </w:t>
      </w:r>
      <w:r w:rsidR="004F15C6" w:rsidRPr="00FE5A2B">
        <w:rPr>
          <w:rFonts w:ascii="Garamond" w:hAnsi="Garamond"/>
        </w:rPr>
        <w:t>nelle</w:t>
      </w:r>
      <w:r w:rsidR="004F15C6">
        <w:rPr>
          <w:rFonts w:ascii="Garamond" w:hAnsi="Garamond"/>
        </w:rPr>
        <w:t xml:space="preserve"> entrate per la differenza di € 2.441,53.</w:t>
      </w:r>
      <w:r w:rsidR="00A91365">
        <w:rPr>
          <w:rFonts w:ascii="Garamond" w:hAnsi="Garamond"/>
        </w:rPr>
        <w:t xml:space="preserve"> </w:t>
      </w:r>
    </w:p>
    <w:p w14:paraId="66549646" w14:textId="77777777" w:rsidR="008476D8" w:rsidRDefault="008476D8" w:rsidP="002B7097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Tra i</w:t>
      </w:r>
      <w:r w:rsidR="0095381A" w:rsidRPr="004C477D">
        <w:rPr>
          <w:rFonts w:ascii="Garamond" w:hAnsi="Garamond"/>
        </w:rPr>
        <w:t xml:space="preserve"> crediti</w:t>
      </w:r>
      <w:r>
        <w:rPr>
          <w:rFonts w:ascii="Garamond" w:hAnsi="Garamond"/>
        </w:rPr>
        <w:t xml:space="preserve"> segnaliamo l’importo di € 47.314,53 nei confronti dell’Avis provinciale di Brescia.</w:t>
      </w:r>
    </w:p>
    <w:p w14:paraId="5615F1E4" w14:textId="77777777" w:rsidR="00FB5C60" w:rsidRDefault="00F830B0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Nelle</w:t>
      </w:r>
      <w:r w:rsidR="008476D8">
        <w:rPr>
          <w:rFonts w:ascii="Garamond" w:hAnsi="Garamond"/>
        </w:rPr>
        <w:t xml:space="preserve"> attività liquide</w:t>
      </w:r>
      <w:r w:rsidR="00FB5C6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</w:t>
      </w:r>
      <w:r w:rsidR="00FB5C60">
        <w:rPr>
          <w:rFonts w:ascii="Garamond" w:hAnsi="Garamond"/>
        </w:rPr>
        <w:t xml:space="preserve">dati più significativi </w:t>
      </w:r>
      <w:r w:rsidR="008B2627">
        <w:rPr>
          <w:rFonts w:ascii="Garamond" w:hAnsi="Garamond"/>
        </w:rPr>
        <w:t>sono rappresentati dal saldo del conto</w:t>
      </w:r>
      <w:r w:rsidR="00F73AC3">
        <w:rPr>
          <w:rFonts w:ascii="Garamond" w:hAnsi="Garamond"/>
        </w:rPr>
        <w:t xml:space="preserve"> </w:t>
      </w:r>
      <w:r w:rsidR="00FB5C60">
        <w:rPr>
          <w:rFonts w:ascii="Garamond" w:hAnsi="Garamond"/>
        </w:rPr>
        <w:t>Banca pari ad E</w:t>
      </w:r>
      <w:r w:rsidR="008476D8">
        <w:rPr>
          <w:rFonts w:ascii="Garamond" w:hAnsi="Garamond"/>
        </w:rPr>
        <w:t>uro 45.305,90</w:t>
      </w:r>
      <w:r w:rsidR="00E01DC0">
        <w:rPr>
          <w:rFonts w:ascii="Garamond" w:hAnsi="Garamond"/>
        </w:rPr>
        <w:t xml:space="preserve"> cui devono ag</w:t>
      </w:r>
      <w:r w:rsidR="00745DC6">
        <w:rPr>
          <w:rFonts w:ascii="Garamond" w:hAnsi="Garamond"/>
        </w:rPr>
        <w:t>giungersi titoli</w:t>
      </w:r>
      <w:r w:rsidR="008476D8">
        <w:rPr>
          <w:rFonts w:ascii="Garamond" w:hAnsi="Garamond"/>
        </w:rPr>
        <w:t xml:space="preserve"> per € 5</w:t>
      </w:r>
      <w:r w:rsidR="00E01DC0">
        <w:rPr>
          <w:rFonts w:ascii="Garamond" w:hAnsi="Garamond"/>
        </w:rPr>
        <w:t>0.000,00</w:t>
      </w:r>
      <w:r w:rsidR="008476D8">
        <w:rPr>
          <w:rFonts w:ascii="Garamond" w:hAnsi="Garamond"/>
        </w:rPr>
        <w:t>.</w:t>
      </w:r>
      <w:r w:rsidR="00FB5C60">
        <w:rPr>
          <w:rFonts w:ascii="Garamond" w:hAnsi="Garamond"/>
        </w:rPr>
        <w:t xml:space="preserve"> </w:t>
      </w:r>
    </w:p>
    <w:p w14:paraId="22ED9856" w14:textId="77777777" w:rsidR="00FB5C60" w:rsidRDefault="00FB5C60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Le spese di rappresentanza sono pari a zero</w:t>
      </w:r>
      <w:r w:rsidR="00745DC6">
        <w:rPr>
          <w:rFonts w:ascii="Garamond" w:hAnsi="Garamond"/>
        </w:rPr>
        <w:t>.</w:t>
      </w:r>
    </w:p>
    <w:p w14:paraId="0FF9F349" w14:textId="77777777" w:rsidR="00745DC6" w:rsidRDefault="00745DC6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Complessivame</w:t>
      </w:r>
      <w:r w:rsidR="005B65C5">
        <w:rPr>
          <w:rFonts w:ascii="Garamond" w:hAnsi="Garamond"/>
        </w:rPr>
        <w:t xml:space="preserve">nte il Patrimonio </w:t>
      </w:r>
      <w:r w:rsidR="008476D8">
        <w:rPr>
          <w:rFonts w:ascii="Garamond" w:hAnsi="Garamond"/>
        </w:rPr>
        <w:t>al 31.12.2015 ammonta a € 97.255,32</w:t>
      </w:r>
      <w:r>
        <w:rPr>
          <w:rFonts w:ascii="Garamond" w:hAnsi="Garamond"/>
        </w:rPr>
        <w:t xml:space="preserve"> al netto d</w:t>
      </w:r>
      <w:r w:rsidR="008476D8">
        <w:rPr>
          <w:rFonts w:ascii="Garamond" w:hAnsi="Garamond"/>
        </w:rPr>
        <w:t xml:space="preserve">el disavanzo dell’esercizio 2015 di € </w:t>
      </w:r>
      <w:r w:rsidR="00661FC7">
        <w:rPr>
          <w:rFonts w:ascii="Garamond" w:hAnsi="Garamond"/>
        </w:rPr>
        <w:t>37.273,17</w:t>
      </w:r>
      <w:r>
        <w:rPr>
          <w:rFonts w:ascii="Garamond" w:hAnsi="Garamond"/>
        </w:rPr>
        <w:t>.</w:t>
      </w:r>
    </w:p>
    <w:p w14:paraId="02F6FB69" w14:textId="1435947F" w:rsidR="00BE6C06" w:rsidRDefault="00BE6C06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Vi ricordiamo che</w:t>
      </w:r>
      <w:r w:rsidR="00DE5290">
        <w:rPr>
          <w:rFonts w:ascii="Garamond" w:hAnsi="Garamond"/>
        </w:rPr>
        <w:t>,</w:t>
      </w:r>
      <w:r>
        <w:rPr>
          <w:rFonts w:ascii="Garamond" w:hAnsi="Garamond"/>
        </w:rPr>
        <w:t xml:space="preserve"> secondo le convenzioni vigenti</w:t>
      </w:r>
      <w:r w:rsidR="00DE5290">
        <w:rPr>
          <w:rFonts w:ascii="Garamond" w:hAnsi="Garamond"/>
        </w:rPr>
        <w:t>,</w:t>
      </w:r>
      <w:r>
        <w:rPr>
          <w:rFonts w:ascii="Garamond" w:hAnsi="Garamond"/>
        </w:rPr>
        <w:t xml:space="preserve"> il Servizio Sanitario Nazionale riconosce all’A.V.I.S. Provinciale € 18,80 per </w:t>
      </w:r>
      <w:r w:rsidR="00FB5C60" w:rsidRPr="00317385">
        <w:rPr>
          <w:rFonts w:ascii="Garamond" w:hAnsi="Garamond"/>
        </w:rPr>
        <w:t>ogni sacca di sangue intero</w:t>
      </w:r>
      <w:r>
        <w:rPr>
          <w:rFonts w:ascii="Garamond" w:hAnsi="Garamond"/>
        </w:rPr>
        <w:t xml:space="preserve"> ed € 20,50</w:t>
      </w:r>
      <w:r w:rsidR="00FB5C60" w:rsidRPr="003173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per ogni sacca di emoderivato, per le attività associative delle A.V.I.S. Comunali. </w:t>
      </w:r>
      <w:r>
        <w:rPr>
          <w:rFonts w:ascii="Garamond" w:hAnsi="Garamond"/>
        </w:rPr>
        <w:t xml:space="preserve">A.V.I.S. </w:t>
      </w:r>
      <w:r>
        <w:rPr>
          <w:rFonts w:ascii="Garamond" w:hAnsi="Garamond"/>
        </w:rPr>
        <w:t>Provinciale riconosce interamente queste somme alla nostra A.V.I.S. Inoltre, il</w:t>
      </w:r>
      <w:r w:rsidR="00FB5C60" w:rsidRPr="00317385">
        <w:rPr>
          <w:rFonts w:ascii="Garamond" w:hAnsi="Garamond"/>
        </w:rPr>
        <w:t xml:space="preserve"> Servizio Sanitario Nazionale riconosce all’A.V.I.S. Provinciale una somma pari ad Euro </w:t>
      </w:r>
      <w:r>
        <w:rPr>
          <w:rFonts w:ascii="Garamond" w:hAnsi="Garamond"/>
        </w:rPr>
        <w:t>€ 52,20 per tutte le attività inerenti la</w:t>
      </w:r>
      <w:r w:rsidR="00A73DA2">
        <w:rPr>
          <w:rFonts w:ascii="Garamond" w:hAnsi="Garamond"/>
        </w:rPr>
        <w:t xml:space="preserve"> raccolta di sangue intero </w:t>
      </w:r>
      <w:r>
        <w:rPr>
          <w:rFonts w:ascii="Garamond" w:hAnsi="Garamond"/>
        </w:rPr>
        <w:t>che viene svolta dall’A.V.I.S. P</w:t>
      </w:r>
      <w:r w:rsidR="00A73DA2">
        <w:rPr>
          <w:rFonts w:ascii="Garamond" w:hAnsi="Garamond"/>
        </w:rPr>
        <w:t>rovinciale</w:t>
      </w:r>
      <w:r>
        <w:rPr>
          <w:rFonts w:ascii="Garamond" w:hAnsi="Garamond"/>
        </w:rPr>
        <w:t xml:space="preserve"> (nulla è riconosciuto all’A.V.I.S. Provinciale per la raccolta di emoderivati essen</w:t>
      </w:r>
      <w:r w:rsidR="00A73DA2">
        <w:rPr>
          <w:rFonts w:ascii="Garamond" w:hAnsi="Garamond"/>
        </w:rPr>
        <w:t xml:space="preserve">do </w:t>
      </w:r>
      <w:r>
        <w:rPr>
          <w:rFonts w:ascii="Garamond" w:hAnsi="Garamond"/>
        </w:rPr>
        <w:t>questa interamente a carico del S</w:t>
      </w:r>
      <w:r w:rsidR="00A73DA2">
        <w:rPr>
          <w:rFonts w:ascii="Garamond" w:hAnsi="Garamond"/>
        </w:rPr>
        <w:t>IMT de</w:t>
      </w:r>
      <w:r>
        <w:rPr>
          <w:rFonts w:ascii="Garamond" w:hAnsi="Garamond"/>
        </w:rPr>
        <w:t xml:space="preserve">gli Spedali Civili </w:t>
      </w:r>
      <w:r w:rsidR="00A73DA2">
        <w:rPr>
          <w:rFonts w:ascii="Garamond" w:hAnsi="Garamond"/>
        </w:rPr>
        <w:t>di Brescia</w:t>
      </w:r>
      <w:r w:rsidR="00DE5290">
        <w:rPr>
          <w:rFonts w:ascii="Garamond" w:hAnsi="Garamond"/>
        </w:rPr>
        <w:t>)</w:t>
      </w:r>
      <w:r>
        <w:rPr>
          <w:rFonts w:ascii="Garamond" w:hAnsi="Garamond"/>
        </w:rPr>
        <w:t>.</w:t>
      </w:r>
    </w:p>
    <w:p w14:paraId="58178DFC" w14:textId="4C40E9A8" w:rsidR="00FB5C60" w:rsidRDefault="002174BE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Per contro</w:t>
      </w:r>
      <w:r w:rsidR="00BE6C06">
        <w:rPr>
          <w:rFonts w:ascii="Garamond" w:hAnsi="Garamond"/>
        </w:rPr>
        <w:t xml:space="preserve">, </w:t>
      </w:r>
      <w:r w:rsidR="00FB5C60" w:rsidRPr="00317385">
        <w:rPr>
          <w:rFonts w:ascii="Garamond" w:hAnsi="Garamond"/>
        </w:rPr>
        <w:t xml:space="preserve">per ogni donazione </w:t>
      </w:r>
      <w:r w:rsidR="002500C0" w:rsidRPr="00317385">
        <w:rPr>
          <w:rFonts w:ascii="Garamond" w:hAnsi="Garamond"/>
        </w:rPr>
        <w:t xml:space="preserve">di sangue intero </w:t>
      </w:r>
      <w:r w:rsidR="00DE5290">
        <w:rPr>
          <w:rFonts w:ascii="Garamond" w:hAnsi="Garamond"/>
        </w:rPr>
        <w:t>l’A.V.I.S. C</w:t>
      </w:r>
      <w:r w:rsidR="00FB5C60" w:rsidRPr="00317385">
        <w:rPr>
          <w:rFonts w:ascii="Garamond" w:hAnsi="Garamond"/>
        </w:rPr>
        <w:t>omunale riconosce all’A</w:t>
      </w:r>
      <w:r w:rsidR="00DE5290">
        <w:rPr>
          <w:rFonts w:ascii="Garamond" w:hAnsi="Garamond"/>
        </w:rPr>
        <w:t xml:space="preserve">.V.I.S. </w:t>
      </w:r>
      <w:r w:rsidR="00FB5C60" w:rsidRPr="00317385">
        <w:rPr>
          <w:rFonts w:ascii="Garamond" w:hAnsi="Garamond"/>
        </w:rPr>
        <w:t xml:space="preserve"> provinciale € 1,50 per spese di ristoro </w:t>
      </w:r>
      <w:r w:rsidR="00F73AC3">
        <w:rPr>
          <w:rFonts w:ascii="Garamond" w:hAnsi="Garamond"/>
        </w:rPr>
        <w:t>e</w:t>
      </w:r>
      <w:r w:rsidR="00DE5290">
        <w:rPr>
          <w:rFonts w:ascii="Garamond" w:hAnsi="Garamond"/>
        </w:rPr>
        <w:t>d</w:t>
      </w:r>
      <w:r w:rsidR="00317385">
        <w:rPr>
          <w:rFonts w:ascii="Garamond" w:hAnsi="Garamond"/>
        </w:rPr>
        <w:t xml:space="preserve"> € 1,03 per ogn</w:t>
      </w:r>
      <w:r w:rsidR="00021B93">
        <w:rPr>
          <w:rFonts w:ascii="Garamond" w:hAnsi="Garamond"/>
        </w:rPr>
        <w:t>i</w:t>
      </w:r>
      <w:r w:rsidR="00317385">
        <w:rPr>
          <w:rFonts w:ascii="Garamond" w:hAnsi="Garamond"/>
        </w:rPr>
        <w:t xml:space="preserve"> donazione</w:t>
      </w:r>
      <w:r w:rsidR="00745DC6">
        <w:rPr>
          <w:rFonts w:ascii="Garamond" w:hAnsi="Garamond"/>
        </w:rPr>
        <w:t xml:space="preserve"> per spese di segreteria</w:t>
      </w:r>
      <w:r w:rsidR="00661FC7">
        <w:rPr>
          <w:rFonts w:ascii="Garamond" w:hAnsi="Garamond"/>
        </w:rPr>
        <w:t xml:space="preserve"> e, dal 2015 per tre anni</w:t>
      </w:r>
      <w:r w:rsidR="009D421F">
        <w:rPr>
          <w:rFonts w:ascii="Garamond" w:hAnsi="Garamond"/>
        </w:rPr>
        <w:t>,</w:t>
      </w:r>
      <w:r w:rsidR="00661FC7">
        <w:rPr>
          <w:rFonts w:ascii="Garamond" w:hAnsi="Garamond"/>
        </w:rPr>
        <w:t xml:space="preserve"> € </w:t>
      </w:r>
      <w:r w:rsidR="00F830B0">
        <w:rPr>
          <w:rFonts w:ascii="Garamond" w:hAnsi="Garamond"/>
        </w:rPr>
        <w:t>2</w:t>
      </w:r>
      <w:r w:rsidR="00661FC7">
        <w:rPr>
          <w:rFonts w:ascii="Garamond" w:hAnsi="Garamond"/>
        </w:rPr>
        <w:t>,00 per ogni prelievo di sangue o emocomponenti</w:t>
      </w:r>
      <w:r w:rsidR="00DE5290">
        <w:rPr>
          <w:rFonts w:ascii="Garamond" w:hAnsi="Garamond"/>
        </w:rPr>
        <w:t xml:space="preserve"> come contributo temporaneo per la </w:t>
      </w:r>
      <w:r>
        <w:rPr>
          <w:rFonts w:ascii="Garamond" w:hAnsi="Garamond"/>
        </w:rPr>
        <w:t>messa in esercizio dei Centri di Prelievo Accreditati in Provincia</w:t>
      </w:r>
      <w:r w:rsidR="00661FC7">
        <w:rPr>
          <w:rFonts w:ascii="Garamond" w:hAnsi="Garamond"/>
        </w:rPr>
        <w:t>.</w:t>
      </w:r>
      <w:r w:rsidR="00317385">
        <w:rPr>
          <w:rFonts w:ascii="Garamond" w:hAnsi="Garamond"/>
        </w:rPr>
        <w:t xml:space="preserve"> P</w:t>
      </w:r>
      <w:r>
        <w:rPr>
          <w:rFonts w:ascii="Garamond" w:hAnsi="Garamond"/>
        </w:rPr>
        <w:t>ertanto i proventi netti</w:t>
      </w:r>
      <w:r w:rsidR="00FB5C60" w:rsidRPr="00317385">
        <w:rPr>
          <w:rFonts w:ascii="Garamond" w:hAnsi="Garamond"/>
        </w:rPr>
        <w:t xml:space="preserve"> </w:t>
      </w:r>
      <w:r w:rsidR="00661FC7">
        <w:rPr>
          <w:rFonts w:ascii="Garamond" w:hAnsi="Garamond"/>
        </w:rPr>
        <w:t>per l’A</w:t>
      </w:r>
      <w:r>
        <w:rPr>
          <w:rFonts w:ascii="Garamond" w:hAnsi="Garamond"/>
        </w:rPr>
        <w:t>.V.I.S. C</w:t>
      </w:r>
      <w:r w:rsidR="00F830B0">
        <w:rPr>
          <w:rFonts w:ascii="Garamond" w:hAnsi="Garamond"/>
        </w:rPr>
        <w:t>omunale sono attualmente di € 14</w:t>
      </w:r>
      <w:r w:rsidR="00317385">
        <w:rPr>
          <w:rFonts w:ascii="Garamond" w:hAnsi="Garamond"/>
        </w:rPr>
        <w:t>,27</w:t>
      </w:r>
      <w:r w:rsidR="00FB5C60" w:rsidRPr="00317385">
        <w:rPr>
          <w:rFonts w:ascii="Garamond" w:hAnsi="Garamond"/>
        </w:rPr>
        <w:t xml:space="preserve"> per ogni dona</w:t>
      </w:r>
      <w:r w:rsidR="00F830B0">
        <w:rPr>
          <w:rFonts w:ascii="Garamond" w:hAnsi="Garamond"/>
        </w:rPr>
        <w:t>zione di sangue intero e di € 17</w:t>
      </w:r>
      <w:r w:rsidR="00317385">
        <w:rPr>
          <w:rFonts w:ascii="Garamond" w:hAnsi="Garamond"/>
        </w:rPr>
        <w:t>,47</w:t>
      </w:r>
      <w:r w:rsidR="00FB5C60" w:rsidRPr="00317385">
        <w:rPr>
          <w:rFonts w:ascii="Garamond" w:hAnsi="Garamond"/>
        </w:rPr>
        <w:t xml:space="preserve"> per ogni d</w:t>
      </w:r>
      <w:r>
        <w:rPr>
          <w:rFonts w:ascii="Garamond" w:hAnsi="Garamond"/>
        </w:rPr>
        <w:t>onazione di plasma e piastrine.</w:t>
      </w:r>
    </w:p>
    <w:p w14:paraId="1AAEE826" w14:textId="5937F0F7" w:rsidR="005E1098" w:rsidRDefault="00FB5C60">
      <w:pPr>
        <w:spacing w:line="460" w:lineRule="exact"/>
        <w:jc w:val="both"/>
        <w:rPr>
          <w:rFonts w:ascii="Garamond" w:hAnsi="Garamond"/>
        </w:rPr>
      </w:pPr>
      <w:r w:rsidRPr="00317385">
        <w:rPr>
          <w:rFonts w:ascii="Garamond" w:hAnsi="Garamond"/>
        </w:rPr>
        <w:t>Da</w:t>
      </w:r>
      <w:r w:rsidR="0021458A">
        <w:rPr>
          <w:rFonts w:ascii="Garamond" w:hAnsi="Garamond"/>
        </w:rPr>
        <w:t>i</w:t>
      </w:r>
      <w:r w:rsidRPr="00317385">
        <w:rPr>
          <w:rFonts w:ascii="Garamond" w:hAnsi="Garamond"/>
        </w:rPr>
        <w:t xml:space="preserve"> proventi </w:t>
      </w:r>
      <w:r w:rsidR="0021458A">
        <w:rPr>
          <w:rFonts w:ascii="Garamond" w:hAnsi="Garamond"/>
        </w:rPr>
        <w:t xml:space="preserve">di cui sopra </w:t>
      </w:r>
      <w:r w:rsidRPr="00317385">
        <w:rPr>
          <w:rFonts w:ascii="Garamond" w:hAnsi="Garamond"/>
        </w:rPr>
        <w:t>vanno poi dedotti i contributi</w:t>
      </w:r>
      <w:r>
        <w:rPr>
          <w:rFonts w:ascii="Garamond" w:hAnsi="Garamond"/>
        </w:rPr>
        <w:t xml:space="preserve"> </w:t>
      </w:r>
      <w:r w:rsidR="00EE485E">
        <w:rPr>
          <w:rFonts w:ascii="Garamond" w:hAnsi="Garamond"/>
        </w:rPr>
        <w:t>per quote as</w:t>
      </w:r>
      <w:r w:rsidR="005E1098">
        <w:rPr>
          <w:rFonts w:ascii="Garamond" w:hAnsi="Garamond"/>
        </w:rPr>
        <w:t>sociative</w:t>
      </w:r>
      <w:r w:rsidR="009D421F">
        <w:rPr>
          <w:rFonts w:ascii="Garamond" w:hAnsi="Garamond"/>
        </w:rPr>
        <w:t xml:space="preserve"> annuali</w:t>
      </w:r>
      <w:r w:rsidR="005E1098">
        <w:rPr>
          <w:rFonts w:ascii="Garamond" w:hAnsi="Garamond"/>
        </w:rPr>
        <w:t xml:space="preserve"> all’</w:t>
      </w:r>
      <w:r w:rsidR="00F73AC3">
        <w:rPr>
          <w:rFonts w:ascii="Garamond" w:hAnsi="Garamond"/>
        </w:rPr>
        <w:t>A</w:t>
      </w:r>
      <w:r w:rsidR="002174BE">
        <w:rPr>
          <w:rFonts w:ascii="Garamond" w:hAnsi="Garamond"/>
        </w:rPr>
        <w:t>.V.I.S.</w:t>
      </w:r>
      <w:r w:rsidR="00F73AC3">
        <w:rPr>
          <w:rFonts w:ascii="Garamond" w:hAnsi="Garamond"/>
        </w:rPr>
        <w:t xml:space="preserve"> </w:t>
      </w:r>
      <w:r w:rsidR="002174BE">
        <w:rPr>
          <w:rFonts w:ascii="Garamond" w:hAnsi="Garamond"/>
        </w:rPr>
        <w:t>P</w:t>
      </w:r>
      <w:r w:rsidR="00F73AC3">
        <w:rPr>
          <w:rFonts w:ascii="Garamond" w:hAnsi="Garamond"/>
        </w:rPr>
        <w:t>rovinciale</w:t>
      </w:r>
      <w:r w:rsidR="005E1098">
        <w:rPr>
          <w:rFonts w:ascii="Garamond" w:hAnsi="Garamond"/>
        </w:rPr>
        <w:t xml:space="preserve"> per € 8.434,67 e per l</w:t>
      </w:r>
      <w:r w:rsidR="002174BE">
        <w:rPr>
          <w:rFonts w:ascii="Garamond" w:hAnsi="Garamond"/>
        </w:rPr>
        <w:t xml:space="preserve">e </w:t>
      </w:r>
      <w:r w:rsidR="005E1098">
        <w:rPr>
          <w:rFonts w:ascii="Garamond" w:hAnsi="Garamond"/>
        </w:rPr>
        <w:t>A</w:t>
      </w:r>
      <w:r w:rsidR="002174BE">
        <w:rPr>
          <w:rFonts w:ascii="Garamond" w:hAnsi="Garamond"/>
        </w:rPr>
        <w:t>.V.I.S. Regionale e N</w:t>
      </w:r>
      <w:r w:rsidR="0021458A">
        <w:rPr>
          <w:rFonts w:ascii="Garamond" w:hAnsi="Garamond"/>
        </w:rPr>
        <w:t xml:space="preserve">azionale </w:t>
      </w:r>
      <w:r w:rsidR="005E1098">
        <w:rPr>
          <w:rFonts w:ascii="Garamond" w:hAnsi="Garamond"/>
        </w:rPr>
        <w:t>per € 9.768,00.</w:t>
      </w:r>
    </w:p>
    <w:p w14:paraId="1FDF7EE1" w14:textId="62E4625A" w:rsidR="002174BE" w:rsidRDefault="002174BE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A.V.I.S Comunale auspica, per l’immediato futuro, che gli organismi competenti possano, pur nella perdurante scarsità di fondi </w:t>
      </w:r>
      <w:r>
        <w:rPr>
          <w:rFonts w:ascii="Garamond" w:hAnsi="Garamond"/>
        </w:rPr>
        <w:t>per la Sanità,</w:t>
      </w:r>
      <w:r>
        <w:rPr>
          <w:rFonts w:ascii="Garamond" w:hAnsi="Garamond"/>
        </w:rPr>
        <w:t xml:space="preserve"> rinegoziare la convenzione in essere (datata 2003 e nelle intenzioni valida per soli due anni ma mai integrata) riconoscendo contributi maggiori sia per l’attività associativa (che oggi richiede spese maggiori a fronte dei costi delle nuove tecnologie multimediali) sia per l’</w:t>
      </w:r>
      <w:r w:rsidR="00BC369B">
        <w:rPr>
          <w:rFonts w:ascii="Garamond" w:hAnsi="Garamond"/>
        </w:rPr>
        <w:t>attività di prelievo dell’</w:t>
      </w:r>
      <w:bookmarkStart w:id="0" w:name="_GoBack"/>
      <w:bookmarkEnd w:id="0"/>
      <w:r>
        <w:rPr>
          <w:rFonts w:ascii="Garamond" w:hAnsi="Garamond"/>
        </w:rPr>
        <w:t xml:space="preserve"> l’A.V.I.S. Provinciale, che necessita di strumentazione e materiali di consumo più moderni e costosi anche in vista del mantenimento di un elevato grado di qualità certificata. A.V.I.S. Comunale dà sin d’ora la disponibilità ad A.V.I.S. Provinciale per analizzare i costi industriali </w:t>
      </w:r>
      <w:r>
        <w:rPr>
          <w:rFonts w:ascii="Garamond" w:hAnsi="Garamond"/>
        </w:rPr>
        <w:t>della raccol</w:t>
      </w:r>
      <w:r>
        <w:rPr>
          <w:rFonts w:ascii="Garamond" w:hAnsi="Garamond"/>
        </w:rPr>
        <w:t>ta, al fine di contribuire alla proposta di una revisione in tal senso.</w:t>
      </w:r>
    </w:p>
    <w:p w14:paraId="430CBDFD" w14:textId="77777777" w:rsidR="009D421F" w:rsidRDefault="009D421F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Cari soci,</w:t>
      </w:r>
    </w:p>
    <w:p w14:paraId="5AE177FD" w14:textId="77777777" w:rsidR="00BB0B6F" w:rsidRDefault="00BB0B6F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Vi invitiamo</w:t>
      </w:r>
      <w:r w:rsidR="00EE485E">
        <w:rPr>
          <w:rFonts w:ascii="Garamond" w:hAnsi="Garamond"/>
        </w:rPr>
        <w:t xml:space="preserve"> a deliberare la coper</w:t>
      </w:r>
      <w:r w:rsidR="0021458A">
        <w:rPr>
          <w:rFonts w:ascii="Garamond" w:hAnsi="Garamond"/>
        </w:rPr>
        <w:t>tura del disavanzo 2015 di € 37.273,17</w:t>
      </w:r>
      <w:r>
        <w:rPr>
          <w:rFonts w:ascii="Garamond" w:hAnsi="Garamond"/>
        </w:rPr>
        <w:t xml:space="preserve"> mediante utilizzo </w:t>
      </w:r>
      <w:r w:rsidR="00114B18">
        <w:rPr>
          <w:rFonts w:ascii="Garamond" w:hAnsi="Garamond"/>
        </w:rPr>
        <w:t>delle riserve.</w:t>
      </w:r>
    </w:p>
    <w:p w14:paraId="16C50007" w14:textId="77777777" w:rsidR="00EE707D" w:rsidRDefault="00EE707D" w:rsidP="00EE707D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>Vi presentiamo lo schema di utilizzo dei fondi 5 per 1000 aggiornato:</w:t>
      </w:r>
    </w:p>
    <w:p w14:paraId="1E9EBB3A" w14:textId="77777777" w:rsidR="00EE707D" w:rsidRDefault="00EE707D">
      <w:pPr>
        <w:spacing w:line="460" w:lineRule="exact"/>
        <w:jc w:val="both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6"/>
        <w:gridCol w:w="2933"/>
        <w:gridCol w:w="2918"/>
      </w:tblGrid>
      <w:tr w:rsidR="00D7630D" w14:paraId="7A2CAB9E" w14:textId="77777777" w:rsidTr="00EA1866">
        <w:trPr>
          <w:trHeight w:val="1055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59C4" w14:textId="77777777" w:rsidR="00D7630D" w:rsidRDefault="00D7630D" w:rsidP="00EA1866">
            <w:pPr>
              <w:spacing w:line="46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Contributo 5x1000 riscosso (stanziato)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88CC" w14:textId="77777777" w:rsidR="00D7630D" w:rsidRDefault="00D7630D" w:rsidP="00EA1866">
            <w:pPr>
              <w:spacing w:line="46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Utilizzo per propaganda </w:t>
            </w:r>
          </w:p>
          <w:p w14:paraId="2255D6B9" w14:textId="77777777" w:rsidR="00D7630D" w:rsidRDefault="00D7630D" w:rsidP="00EA1866">
            <w:pPr>
              <w:spacing w:line="46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Escluse spese benemerenza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3E2A" w14:textId="77777777" w:rsidR="00D7630D" w:rsidRDefault="00D7630D" w:rsidP="00EA1866">
            <w:pPr>
              <w:spacing w:line="460" w:lineRule="exact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Residuo</w:t>
            </w:r>
          </w:p>
        </w:tc>
      </w:tr>
      <w:tr w:rsidR="00D7630D" w14:paraId="3BEF5A95" w14:textId="77777777" w:rsidTr="00EA1866">
        <w:trPr>
          <w:trHeight w:val="519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CEDA" w14:textId="77777777" w:rsidR="00D7630D" w:rsidRDefault="00D7630D" w:rsidP="00EA1866">
            <w:pPr>
              <w:spacing w:line="46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2006                           € 4.456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3DCF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€.48.105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2C60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€ 0</w:t>
            </w:r>
          </w:p>
        </w:tc>
      </w:tr>
      <w:tr w:rsidR="00D7630D" w14:paraId="1CCF7FE4" w14:textId="77777777" w:rsidTr="00EA1866">
        <w:trPr>
          <w:trHeight w:val="536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DBB2" w14:textId="77777777" w:rsidR="00D7630D" w:rsidRDefault="00D7630D" w:rsidP="00EA1866">
            <w:pPr>
              <w:spacing w:line="46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2007                           € 9.233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2624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€ 10.560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EAD4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€ 0</w:t>
            </w:r>
          </w:p>
        </w:tc>
      </w:tr>
      <w:tr w:rsidR="00D7630D" w14:paraId="5BFC9422" w14:textId="77777777" w:rsidTr="00EA1866">
        <w:trPr>
          <w:trHeight w:val="519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FC22" w14:textId="77777777" w:rsidR="00D7630D" w:rsidRDefault="00D7630D" w:rsidP="00EA1866">
            <w:pPr>
              <w:spacing w:line="46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2008                         € 11.487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87ED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€ 11.068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9EA9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€ 419</w:t>
            </w:r>
          </w:p>
        </w:tc>
      </w:tr>
      <w:tr w:rsidR="00D7630D" w14:paraId="4DCFBF1C" w14:textId="77777777" w:rsidTr="00EA1866">
        <w:trPr>
          <w:trHeight w:val="519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B4EC" w14:textId="77777777" w:rsidR="00D7630D" w:rsidRDefault="00D7630D" w:rsidP="00EA1866">
            <w:pPr>
              <w:spacing w:line="46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2009                       (€ 10.802)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69AC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   5.484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ABE35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€ 5.737    </w:t>
            </w:r>
          </w:p>
        </w:tc>
      </w:tr>
      <w:tr w:rsidR="00D7630D" w14:paraId="7C54C2BB" w14:textId="77777777" w:rsidTr="00EA1866">
        <w:trPr>
          <w:trHeight w:val="536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766E" w14:textId="77777777" w:rsidR="00D7630D" w:rsidRDefault="00D7630D" w:rsidP="00EA1866">
            <w:pPr>
              <w:spacing w:line="46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2010                    €12.663,87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32AF5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€ 22.780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E068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€ 0</w:t>
            </w:r>
          </w:p>
        </w:tc>
      </w:tr>
      <w:tr w:rsidR="00D7630D" w14:paraId="54F6E8F8" w14:textId="77777777" w:rsidTr="00EA1866">
        <w:trPr>
          <w:trHeight w:val="536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6EAD" w14:textId="77777777" w:rsidR="00D7630D" w:rsidRDefault="00D7630D" w:rsidP="00EA1866">
            <w:pPr>
              <w:spacing w:line="46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2011                         € 14.189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CEAB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€ 24.932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5E92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€ 0</w:t>
            </w:r>
          </w:p>
        </w:tc>
      </w:tr>
      <w:tr w:rsidR="00D7630D" w14:paraId="42D7493E" w14:textId="77777777" w:rsidTr="00EA1866">
        <w:trPr>
          <w:trHeight w:val="536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5B72" w14:textId="77777777" w:rsidR="00D7630D" w:rsidRDefault="00D7630D" w:rsidP="00EA1866">
            <w:pPr>
              <w:spacing w:line="46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2012                              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E6BB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3DE5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</w:tr>
      <w:tr w:rsidR="00D7630D" w14:paraId="53FA2A58" w14:textId="77777777" w:rsidTr="00EA1866">
        <w:trPr>
          <w:trHeight w:val="536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B234" w14:textId="77777777" w:rsidR="00D7630D" w:rsidRDefault="00D7630D" w:rsidP="00EA1866">
            <w:pPr>
              <w:spacing w:line="46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2013                    € 13.243,79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5733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€ </w:t>
            </w:r>
            <w:r w:rsidR="005C7503">
              <w:rPr>
                <w:rFonts w:ascii="Garamond" w:hAnsi="Garamond"/>
              </w:rPr>
              <w:t>7.311,00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FEFD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€ </w:t>
            </w:r>
            <w:r w:rsidR="005C7503">
              <w:rPr>
                <w:rFonts w:ascii="Garamond" w:hAnsi="Garamond"/>
              </w:rPr>
              <w:t>5.932,79</w:t>
            </w:r>
          </w:p>
        </w:tc>
      </w:tr>
      <w:tr w:rsidR="00D7630D" w14:paraId="24B079F7" w14:textId="77777777" w:rsidTr="00EA1866">
        <w:trPr>
          <w:trHeight w:val="536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442A" w14:textId="77777777" w:rsidR="00D7630D" w:rsidRDefault="00D7630D" w:rsidP="00EA1866">
            <w:pPr>
              <w:spacing w:line="46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2014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E310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48D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</w:p>
        </w:tc>
      </w:tr>
      <w:tr w:rsidR="00D7630D" w14:paraId="46B800A3" w14:textId="77777777" w:rsidTr="00EA1866">
        <w:trPr>
          <w:trHeight w:val="536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AC35" w14:textId="77777777" w:rsidR="00D7630D" w:rsidRDefault="00D7630D" w:rsidP="00EA1866">
            <w:pPr>
              <w:spacing w:line="46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2015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3EED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E37C" w14:textId="77777777" w:rsidR="00D7630D" w:rsidRDefault="00D7630D" w:rsidP="00EA1866">
            <w:pPr>
              <w:spacing w:line="460" w:lineRule="exact"/>
              <w:jc w:val="right"/>
              <w:rPr>
                <w:rFonts w:ascii="Garamond" w:hAnsi="Garamond"/>
              </w:rPr>
            </w:pPr>
          </w:p>
        </w:tc>
      </w:tr>
    </w:tbl>
    <w:p w14:paraId="1BFD38F8" w14:textId="77777777" w:rsidR="00D7630D" w:rsidRDefault="00D7630D">
      <w:pPr>
        <w:spacing w:line="460" w:lineRule="exact"/>
        <w:jc w:val="both"/>
        <w:rPr>
          <w:rFonts w:ascii="Garamond" w:hAnsi="Garamond"/>
        </w:rPr>
      </w:pPr>
    </w:p>
    <w:p w14:paraId="5C7F4E12" w14:textId="77777777" w:rsidR="00FB5C60" w:rsidRDefault="00FB5C60">
      <w:pPr>
        <w:spacing w:line="460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Il Consiglio Direttivo</w:t>
      </w:r>
    </w:p>
    <w:sectPr w:rsidR="00FB5C60" w:rsidSect="00B771B6">
      <w:pgSz w:w="11906" w:h="16838"/>
      <w:pgMar w:top="1418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91AE5"/>
    <w:multiLevelType w:val="hybridMultilevel"/>
    <w:tmpl w:val="F296F9C4"/>
    <w:lvl w:ilvl="0" w:tplc="5AC83530">
      <w:start w:val="201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C0"/>
    <w:rsid w:val="00021B93"/>
    <w:rsid w:val="0003761A"/>
    <w:rsid w:val="000D4685"/>
    <w:rsid w:val="001005DD"/>
    <w:rsid w:val="001041EF"/>
    <w:rsid w:val="00113703"/>
    <w:rsid w:val="00114B18"/>
    <w:rsid w:val="00147D72"/>
    <w:rsid w:val="001956D7"/>
    <w:rsid w:val="001F22A0"/>
    <w:rsid w:val="0021458A"/>
    <w:rsid w:val="002174BE"/>
    <w:rsid w:val="00225D04"/>
    <w:rsid w:val="00240571"/>
    <w:rsid w:val="002500C0"/>
    <w:rsid w:val="0026037E"/>
    <w:rsid w:val="00276F18"/>
    <w:rsid w:val="002B7097"/>
    <w:rsid w:val="002C39DB"/>
    <w:rsid w:val="002C6263"/>
    <w:rsid w:val="002C688D"/>
    <w:rsid w:val="00307F29"/>
    <w:rsid w:val="00317385"/>
    <w:rsid w:val="003407F6"/>
    <w:rsid w:val="003522A8"/>
    <w:rsid w:val="00353C20"/>
    <w:rsid w:val="0036379E"/>
    <w:rsid w:val="00375960"/>
    <w:rsid w:val="003761CA"/>
    <w:rsid w:val="003963ED"/>
    <w:rsid w:val="0040304E"/>
    <w:rsid w:val="00405CFE"/>
    <w:rsid w:val="004A6EB8"/>
    <w:rsid w:val="004C477D"/>
    <w:rsid w:val="004D1865"/>
    <w:rsid w:val="004F15C6"/>
    <w:rsid w:val="004F4D6C"/>
    <w:rsid w:val="005118FE"/>
    <w:rsid w:val="00523CE1"/>
    <w:rsid w:val="00581CDE"/>
    <w:rsid w:val="005B65C5"/>
    <w:rsid w:val="005C7503"/>
    <w:rsid w:val="005E1098"/>
    <w:rsid w:val="00633ED3"/>
    <w:rsid w:val="00655F40"/>
    <w:rsid w:val="00661FC7"/>
    <w:rsid w:val="00663DFE"/>
    <w:rsid w:val="00670966"/>
    <w:rsid w:val="006B29CE"/>
    <w:rsid w:val="006B3393"/>
    <w:rsid w:val="006F5CF1"/>
    <w:rsid w:val="00707ACF"/>
    <w:rsid w:val="007164E7"/>
    <w:rsid w:val="00721613"/>
    <w:rsid w:val="007312E8"/>
    <w:rsid w:val="007332AE"/>
    <w:rsid w:val="00745DC6"/>
    <w:rsid w:val="007C0A16"/>
    <w:rsid w:val="007F7064"/>
    <w:rsid w:val="0083090F"/>
    <w:rsid w:val="008476D8"/>
    <w:rsid w:val="0085219F"/>
    <w:rsid w:val="008B2627"/>
    <w:rsid w:val="008F0B3D"/>
    <w:rsid w:val="008F732D"/>
    <w:rsid w:val="0095381A"/>
    <w:rsid w:val="0095704F"/>
    <w:rsid w:val="00960C4D"/>
    <w:rsid w:val="009B572E"/>
    <w:rsid w:val="009B77F2"/>
    <w:rsid w:val="009D421F"/>
    <w:rsid w:val="009E205C"/>
    <w:rsid w:val="00A00B10"/>
    <w:rsid w:val="00A03C36"/>
    <w:rsid w:val="00A05337"/>
    <w:rsid w:val="00A6283B"/>
    <w:rsid w:val="00A666C3"/>
    <w:rsid w:val="00A709F8"/>
    <w:rsid w:val="00A73DA2"/>
    <w:rsid w:val="00A8075D"/>
    <w:rsid w:val="00A91365"/>
    <w:rsid w:val="00AA298B"/>
    <w:rsid w:val="00AD0AE2"/>
    <w:rsid w:val="00AE5969"/>
    <w:rsid w:val="00B13176"/>
    <w:rsid w:val="00B771B6"/>
    <w:rsid w:val="00B8205C"/>
    <w:rsid w:val="00BA3C0B"/>
    <w:rsid w:val="00BB0B6F"/>
    <w:rsid w:val="00BC369B"/>
    <w:rsid w:val="00BD0F75"/>
    <w:rsid w:val="00BE6C06"/>
    <w:rsid w:val="00BF044C"/>
    <w:rsid w:val="00C357BB"/>
    <w:rsid w:val="00C72917"/>
    <w:rsid w:val="00C840E1"/>
    <w:rsid w:val="00C8414A"/>
    <w:rsid w:val="00CA4F33"/>
    <w:rsid w:val="00CE777A"/>
    <w:rsid w:val="00D13E18"/>
    <w:rsid w:val="00D34B56"/>
    <w:rsid w:val="00D7630D"/>
    <w:rsid w:val="00DB11C0"/>
    <w:rsid w:val="00DC57AB"/>
    <w:rsid w:val="00DE5290"/>
    <w:rsid w:val="00E01DC0"/>
    <w:rsid w:val="00E759B1"/>
    <w:rsid w:val="00E800EA"/>
    <w:rsid w:val="00E83E7F"/>
    <w:rsid w:val="00E93B67"/>
    <w:rsid w:val="00EE485E"/>
    <w:rsid w:val="00EE707D"/>
    <w:rsid w:val="00F73AC3"/>
    <w:rsid w:val="00F830B0"/>
    <w:rsid w:val="00F943FF"/>
    <w:rsid w:val="00FA03D2"/>
    <w:rsid w:val="00FB3C6D"/>
    <w:rsid w:val="00FB5C60"/>
    <w:rsid w:val="00FE048C"/>
    <w:rsid w:val="00FE152C"/>
    <w:rsid w:val="00FE5A2B"/>
    <w:rsid w:val="00FE753E"/>
    <w:rsid w:val="00FF00EE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53C9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1B6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771B6"/>
  </w:style>
  <w:style w:type="character" w:customStyle="1" w:styleId="Carpredefinitoparagrafo1">
    <w:name w:val="Car. predefinito paragrafo1"/>
    <w:rsid w:val="00B771B6"/>
  </w:style>
  <w:style w:type="paragraph" w:customStyle="1" w:styleId="Intestazione1">
    <w:name w:val="Intestazione1"/>
    <w:basedOn w:val="Normale"/>
    <w:next w:val="Corpotesto"/>
    <w:rsid w:val="00B771B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B771B6"/>
    <w:pPr>
      <w:spacing w:after="120"/>
    </w:pPr>
  </w:style>
  <w:style w:type="paragraph" w:styleId="Elenco">
    <w:name w:val="List"/>
    <w:basedOn w:val="Corpotesto"/>
    <w:rsid w:val="00B771B6"/>
    <w:rPr>
      <w:rFonts w:cs="Mangal"/>
    </w:rPr>
  </w:style>
  <w:style w:type="paragraph" w:customStyle="1" w:styleId="Didascalia1">
    <w:name w:val="Didascalia1"/>
    <w:basedOn w:val="Normale"/>
    <w:rsid w:val="00B771B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771B6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405C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B0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E6B07-FB02-8F49-B35C-C5CD15C36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929</Words>
  <Characters>5677</Characters>
  <Application>Microsoft Macintosh Word</Application>
  <DocSecurity>0</DocSecurity>
  <Lines>91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 Company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Francesca</dc:creator>
  <cp:lastModifiedBy>Franco Docchio</cp:lastModifiedBy>
  <cp:revision>3</cp:revision>
  <cp:lastPrinted>2014-02-03T10:12:00Z</cp:lastPrinted>
  <dcterms:created xsi:type="dcterms:W3CDTF">2016-02-18T07:34:00Z</dcterms:created>
  <dcterms:modified xsi:type="dcterms:W3CDTF">2016-02-18T07:47:00Z</dcterms:modified>
</cp:coreProperties>
</file>